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6A72CF22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654249">
        <w:rPr>
          <w:rFonts w:ascii="Arial" w:hAnsi="Arial" w:cs="Arial"/>
          <w:b/>
          <w:sz w:val="22"/>
          <w:szCs w:val="22"/>
        </w:rPr>
        <w:t>6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941FD5">
        <w:rPr>
          <w:rFonts w:ascii="Arial" w:hAnsi="Arial" w:cs="Arial"/>
          <w:b/>
          <w:sz w:val="22"/>
          <w:szCs w:val="22"/>
        </w:rPr>
        <w:t>9385</w:t>
      </w:r>
    </w:p>
    <w:p w14:paraId="0A9F36F3" w14:textId="195F91D6" w:rsidR="00830EEF" w:rsidRPr="00830EEF" w:rsidRDefault="00654249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Bangalore</w:t>
      </w:r>
      <w:r w:rsidR="006224D4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India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August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25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 w:rsidR="001E5F3E">
        <w:rPr>
          <w:rFonts w:ascii="Arial" w:hAnsi="Arial"/>
          <w:b/>
          <w:noProof/>
          <w:sz w:val="22"/>
          <w:szCs w:val="22"/>
        </w:rPr>
        <w:t>2</w:t>
      </w:r>
      <w:r>
        <w:rPr>
          <w:rFonts w:ascii="Arial" w:hAnsi="Arial"/>
          <w:b/>
          <w:noProof/>
          <w:sz w:val="22"/>
          <w:szCs w:val="22"/>
        </w:rPr>
        <w:t>9</w:t>
      </w:r>
      <w:r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374023CB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705288" w:rsidRPr="00705288">
        <w:rPr>
          <w:rFonts w:ascii="Arial" w:hAnsi="Arial" w:cs="Arial"/>
          <w:b/>
          <w:sz w:val="22"/>
        </w:rPr>
        <w:t>Further discussion on updating duty cycle evaluation with the introduction of SBFD</w:t>
      </w:r>
    </w:p>
    <w:p w14:paraId="73AD8CE3" w14:textId="3C3AF54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ED73C9" w:rsidRPr="00ED73C9">
        <w:rPr>
          <w:rFonts w:ascii="Arial" w:hAnsi="Arial" w:cs="Arial"/>
          <w:b/>
          <w:sz w:val="22"/>
        </w:rPr>
        <w:t>7.21.</w:t>
      </w:r>
      <w:r w:rsidR="005E6F01">
        <w:rPr>
          <w:rFonts w:ascii="Arial" w:hAnsi="Arial" w:cs="Arial"/>
          <w:b/>
          <w:sz w:val="22"/>
        </w:rPr>
        <w:t>3.</w:t>
      </w:r>
      <w:r w:rsidR="00ED73C9" w:rsidRPr="00ED73C9">
        <w:rPr>
          <w:rFonts w:ascii="Arial" w:hAnsi="Arial" w:cs="Arial"/>
          <w:b/>
          <w:sz w:val="22"/>
        </w:rPr>
        <w:t>2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4AD5045F" w:rsidR="005B47FD" w:rsidRDefault="008E09BC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RAN4#114bis, one issue was raised on whether or not or how to update HPUE duty cycle evaluation with the introduction of SBFD, and RAN4 reached the following common understanding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5D5D27" w:rsidRPr="005D5D27" w14:paraId="201C837C" w14:textId="77777777" w:rsidTr="005D5D27">
        <w:tc>
          <w:tcPr>
            <w:tcW w:w="10457" w:type="dxa"/>
          </w:tcPr>
          <w:p w14:paraId="31840D69" w14:textId="77777777" w:rsidR="005D5D27" w:rsidRPr="005D5D27" w:rsidRDefault="005D5D27" w:rsidP="005D5D27">
            <w:pPr>
              <w:pStyle w:val="Heading5"/>
              <w:ind w:left="1008" w:hanging="1008"/>
              <w:rPr>
                <w:i/>
                <w:iCs/>
                <w:lang w:val="en-US"/>
              </w:rPr>
            </w:pPr>
            <w:r w:rsidRPr="005D5D27">
              <w:rPr>
                <w:i/>
                <w:iCs/>
                <w:lang w:val="en-US"/>
              </w:rPr>
              <w:t>Issue 1-7-1: Update for HPUE duty cycle evaluation</w:t>
            </w:r>
          </w:p>
          <w:p w14:paraId="32033FC6" w14:textId="77777777" w:rsidR="005D5D27" w:rsidRPr="005D5D27" w:rsidRDefault="005D5D27" w:rsidP="005D5D27">
            <w:pPr>
              <w:spacing w:after="120" w:line="259" w:lineRule="auto"/>
              <w:jc w:val="both"/>
              <w:rPr>
                <w:i/>
                <w:iCs/>
                <w:lang w:val="en-US" w:eastAsia="zh-CN"/>
              </w:rPr>
            </w:pPr>
            <w:r w:rsidRPr="005D5D27">
              <w:rPr>
                <w:rFonts w:hint="eastAsia"/>
                <w:i/>
                <w:iCs/>
                <w:lang w:val="en-US" w:eastAsia="zh-CN"/>
              </w:rPr>
              <w:t>W</w:t>
            </w:r>
            <w:r w:rsidRPr="005D5D27">
              <w:rPr>
                <w:i/>
                <w:iCs/>
                <w:lang w:val="en-US" w:eastAsia="zh-CN"/>
              </w:rPr>
              <w:t xml:space="preserve">ay forward: </w:t>
            </w:r>
          </w:p>
          <w:p w14:paraId="41B26579" w14:textId="77777777" w:rsidR="005D5D27" w:rsidRPr="005D5D27" w:rsidRDefault="005D5D27" w:rsidP="005D5D27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jc w:val="both"/>
              <w:textAlignment w:val="auto"/>
              <w:rPr>
                <w:i/>
                <w:iCs/>
                <w:lang w:val="en-US" w:eastAsia="zh-CN"/>
              </w:rPr>
            </w:pPr>
            <w:r w:rsidRPr="005D5D27">
              <w:rPr>
                <w:rFonts w:eastAsiaTheme="minorEastAsia"/>
                <w:i/>
                <w:iCs/>
                <w:lang w:val="en-US" w:eastAsia="zh-CN"/>
              </w:rPr>
              <w:t>RAN4 has discussed the two following points</w:t>
            </w:r>
            <w:r w:rsidRPr="005D5D27">
              <w:rPr>
                <w:rStyle w:val="CommentReference"/>
                <w:rFonts w:eastAsia="SimSun"/>
                <w:i/>
                <w:iCs/>
              </w:rPr>
              <w:t xml:space="preserve">: </w:t>
            </w:r>
            <w:r w:rsidRPr="005D5D27">
              <w:rPr>
                <w:i/>
                <w:iCs/>
                <w:lang w:val="en-US"/>
              </w:rPr>
              <w:t xml:space="preserve"> </w:t>
            </w:r>
          </w:p>
          <w:p w14:paraId="73EBA4ED" w14:textId="77777777" w:rsidR="005D5D27" w:rsidRPr="005D5D27" w:rsidRDefault="005D5D27" w:rsidP="005D5D27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jc w:val="both"/>
              <w:textAlignment w:val="auto"/>
              <w:rPr>
                <w:i/>
                <w:iCs/>
                <w:lang w:val="en-US" w:eastAsia="zh-CN"/>
              </w:rPr>
            </w:pPr>
            <w:r w:rsidRPr="005D5D27">
              <w:rPr>
                <w:i/>
                <w:iCs/>
                <w:lang w:val="en-US"/>
              </w:rPr>
              <w:t>For non-SBFD-aware UE, the “uplink symbols transmitted” used for uplink duty cycle evaluation are symbols with uplink transmission;</w:t>
            </w:r>
          </w:p>
          <w:p w14:paraId="32230D5D" w14:textId="77777777" w:rsidR="005D5D27" w:rsidRPr="005D5D27" w:rsidRDefault="005D5D27" w:rsidP="005D5D27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jc w:val="both"/>
              <w:textAlignment w:val="auto"/>
              <w:rPr>
                <w:i/>
                <w:iCs/>
                <w:lang w:val="en-US" w:eastAsia="zh-CN"/>
              </w:rPr>
            </w:pPr>
            <w:r w:rsidRPr="005D5D27">
              <w:rPr>
                <w:i/>
                <w:iCs/>
                <w:lang w:val="en-US"/>
              </w:rPr>
              <w:t>For SBFD-aware UE, the symbols used for uplink duty cycle evaluation are symbols with uplink transmission, including the non-SBFD symbols and SBFD symbols with UL transmission.</w:t>
            </w:r>
          </w:p>
          <w:p w14:paraId="3E3C0870" w14:textId="534F0F88" w:rsidR="005D5D27" w:rsidRPr="005D5D27" w:rsidRDefault="005D5D27" w:rsidP="005D5D27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 w:line="259" w:lineRule="auto"/>
              <w:ind w:firstLineChars="0"/>
              <w:jc w:val="both"/>
              <w:textAlignment w:val="auto"/>
              <w:rPr>
                <w:i/>
                <w:iCs/>
                <w:lang w:val="en-US" w:eastAsia="zh-CN"/>
              </w:rPr>
            </w:pPr>
            <w:r w:rsidRPr="005D5D27">
              <w:rPr>
                <w:rFonts w:hint="eastAsia"/>
                <w:i/>
                <w:iCs/>
                <w:lang w:val="en-US"/>
              </w:rPr>
              <w:t>F</w:t>
            </w:r>
            <w:r w:rsidRPr="005D5D27">
              <w:rPr>
                <w:i/>
                <w:iCs/>
                <w:lang w:val="en-US"/>
              </w:rPr>
              <w:t xml:space="preserve">FS RAN4 specification impact by taking into account the above understanding for SBFD-aware UE. </w:t>
            </w:r>
          </w:p>
        </w:tc>
      </w:tr>
    </w:tbl>
    <w:p w14:paraId="134C826C" w14:textId="77777777" w:rsidR="005D5D27" w:rsidRDefault="005D5D27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1BBCC051" w14:textId="3173BBBC" w:rsidR="00ED73C9" w:rsidRDefault="00ED73C9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Moreover, In RAN4#115, the issue was discussed however no consensus was reached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ED73C9" w:rsidRPr="00ED73C9" w14:paraId="790395C4" w14:textId="77777777">
        <w:tc>
          <w:tcPr>
            <w:tcW w:w="10457" w:type="dxa"/>
          </w:tcPr>
          <w:p w14:paraId="12F193A9" w14:textId="77777777" w:rsidR="00ED73C9" w:rsidRPr="00ED73C9" w:rsidRDefault="00ED73C9" w:rsidP="00ED73C9">
            <w:pPr>
              <w:keepNext/>
              <w:keepLines/>
              <w:spacing w:before="120"/>
              <w:ind w:left="720" w:hanging="720"/>
              <w:outlineLvl w:val="2"/>
              <w:rPr>
                <w:rFonts w:ascii="Arial" w:eastAsia="Yu Mincho" w:hAnsi="Arial"/>
                <w:i/>
                <w:iCs/>
                <w:szCs w:val="12"/>
                <w:lang w:val="en-US" w:eastAsia="zh-CN"/>
              </w:rPr>
            </w:pPr>
            <w:r w:rsidRPr="00ED73C9">
              <w:rPr>
                <w:rFonts w:ascii="Arial" w:eastAsia="Yu Mincho" w:hAnsi="Arial"/>
                <w:i/>
                <w:iCs/>
                <w:szCs w:val="12"/>
                <w:lang w:val="en-US" w:eastAsia="zh-CN"/>
              </w:rPr>
              <w:t>Sub-topic 2-2</w:t>
            </w:r>
            <w:r w:rsidRPr="00ED73C9">
              <w:rPr>
                <w:rFonts w:ascii="Arial" w:eastAsia="Yu Mincho" w:hAnsi="Arial" w:hint="eastAsia"/>
                <w:i/>
                <w:iCs/>
                <w:szCs w:val="12"/>
                <w:lang w:val="en-US" w:eastAsia="zh-CN"/>
              </w:rPr>
              <w:t>:</w:t>
            </w:r>
            <w:r w:rsidRPr="00ED73C9">
              <w:rPr>
                <w:rFonts w:ascii="Arial" w:eastAsia="Yu Mincho" w:hAnsi="Arial"/>
                <w:i/>
                <w:iCs/>
                <w:szCs w:val="12"/>
                <w:lang w:val="en-US" w:eastAsia="zh-CN"/>
              </w:rPr>
              <w:t xml:space="preserve"> Update for HPUE duty cycle evaluation</w:t>
            </w:r>
          </w:p>
          <w:p w14:paraId="58BA737D" w14:textId="77777777" w:rsidR="00ED73C9" w:rsidRPr="00ED73C9" w:rsidRDefault="00ED73C9" w:rsidP="00ED73C9">
            <w:pPr>
              <w:keepNext/>
              <w:keepLines/>
              <w:spacing w:before="120"/>
              <w:ind w:left="1008" w:hanging="1008"/>
              <w:outlineLvl w:val="4"/>
              <w:rPr>
                <w:rFonts w:ascii="Arial" w:eastAsia="Yu Mincho" w:hAnsi="Arial"/>
                <w:i/>
                <w:iCs/>
                <w:szCs w:val="12"/>
                <w:lang w:val="en-US" w:eastAsia="zh-CN"/>
              </w:rPr>
            </w:pPr>
            <w:r w:rsidRPr="00ED73C9">
              <w:rPr>
                <w:rFonts w:ascii="Arial" w:eastAsia="Yu Mincho" w:hAnsi="Arial"/>
                <w:i/>
                <w:iCs/>
                <w:szCs w:val="12"/>
                <w:lang w:val="en-US" w:eastAsia="zh-CN"/>
              </w:rPr>
              <w:t>Issue 2-2-1: The necessity to update for HPUE duty cycle evaluation</w:t>
            </w:r>
          </w:p>
          <w:p w14:paraId="3F7B51F2" w14:textId="3BF07CDE" w:rsidR="00ED73C9" w:rsidRPr="00ED73C9" w:rsidRDefault="00ED73C9" w:rsidP="00ED73C9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eastAsia="MS Mincho"/>
                <w:i/>
                <w:iCs/>
                <w:szCs w:val="12"/>
                <w:lang w:val="en-US" w:eastAsia="en-US"/>
              </w:rPr>
            </w:pPr>
            <w:r w:rsidRPr="00ED73C9">
              <w:rPr>
                <w:rFonts w:eastAsia="MS Mincho"/>
                <w:i/>
                <w:iCs/>
                <w:szCs w:val="12"/>
                <w:lang w:val="en-US" w:eastAsia="en-US"/>
              </w:rPr>
              <w:t xml:space="preserve">No agreement in this meeting and the way forward from RAN4#114bis can still be followed. </w:t>
            </w:r>
          </w:p>
        </w:tc>
      </w:tr>
    </w:tbl>
    <w:p w14:paraId="56351AA4" w14:textId="77777777" w:rsidR="00ED73C9" w:rsidRDefault="00ED73C9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5E0D917F" w14:textId="24CFC43A" w:rsidR="005D5D27" w:rsidRPr="00627FD1" w:rsidRDefault="00ED73C9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Since RAN4#116 would be the last meeting for the core requirements of this work item, we propose to have another try to conclude this issue by adding a clarification under sub-clause 6.1, which is captured in our companion paper [4]</w:t>
      </w:r>
      <w:r w:rsidR="008E09BC">
        <w:rPr>
          <w:sz w:val="24"/>
          <w:szCs w:val="24"/>
          <w:lang w:eastAsia="zh-CN"/>
        </w:rPr>
        <w:t>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20AEA99D" w14:textId="33D512FB" w:rsidR="003B7F48" w:rsidRDefault="002C7108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As seen in our paper [3]</w:t>
      </w:r>
      <w:r w:rsidR="004E6038">
        <w:rPr>
          <w:sz w:val="24"/>
          <w:szCs w:val="24"/>
          <w:lang w:eastAsia="zh-CN"/>
        </w:rPr>
        <w:t>, t</w:t>
      </w:r>
      <w:r w:rsidR="003B7F48">
        <w:rPr>
          <w:sz w:val="24"/>
          <w:szCs w:val="24"/>
          <w:lang w:eastAsia="zh-CN"/>
        </w:rPr>
        <w:t>he root cause for this issue is that a symbol can be configured as either only DL transmission or only UL transmission in a TDD band without introduction of SBFD, however, it is not the case when introducing SBFD, where an SBFD symbol consists of both UL and DL transmission in TDD UL-DL pattern, hence there could be different understandings on the current wording “uplink symbols transmitted” used for uplink duty cycle evaluation:</w:t>
      </w:r>
    </w:p>
    <w:p w14:paraId="371C6A76" w14:textId="43B414A5" w:rsidR="003B7F48" w:rsidRDefault="003B7F48" w:rsidP="003B7F48">
      <w:pPr>
        <w:pStyle w:val="B1"/>
        <w:numPr>
          <w:ilvl w:val="0"/>
          <w:numId w:val="38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Understanding #1: “uplink symbols transmitted” means “uplink only symbols transmitted”, then this requires update of RAN4 specs.</w:t>
      </w:r>
    </w:p>
    <w:p w14:paraId="0FEDE64F" w14:textId="02A3AD03" w:rsidR="003B7F48" w:rsidRDefault="003B7F48" w:rsidP="003B7F48">
      <w:pPr>
        <w:pStyle w:val="B1"/>
        <w:numPr>
          <w:ilvl w:val="0"/>
          <w:numId w:val="38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Understanding #2: “uplink symbols transmitted” means “uplink transmission”, not referring to the symbol type in TDD UL-DL pattern, then there is no need to make update of RAN4 specs.</w:t>
      </w:r>
    </w:p>
    <w:p w14:paraId="25146808" w14:textId="426C91D8" w:rsidR="003B7F48" w:rsidRDefault="004E6038" w:rsidP="003B7F48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lastRenderedPageBreak/>
        <w:t xml:space="preserve">As confirmed internally, </w:t>
      </w:r>
      <w:r w:rsidR="003B7F48">
        <w:rPr>
          <w:sz w:val="24"/>
          <w:szCs w:val="24"/>
          <w:lang w:eastAsia="zh-CN"/>
        </w:rPr>
        <w:t>working groups other than RAN4 ha</w:t>
      </w:r>
      <w:r>
        <w:rPr>
          <w:sz w:val="24"/>
          <w:szCs w:val="24"/>
          <w:lang w:eastAsia="zh-CN"/>
        </w:rPr>
        <w:t>s</w:t>
      </w:r>
      <w:r w:rsidR="003B7F48">
        <w:rPr>
          <w:sz w:val="24"/>
          <w:szCs w:val="24"/>
          <w:lang w:eastAsia="zh-CN"/>
        </w:rPr>
        <w:t xml:space="preserve"> the former understanding, therefore, some clarification could be helpful</w:t>
      </w:r>
      <w:r>
        <w:rPr>
          <w:sz w:val="24"/>
          <w:szCs w:val="24"/>
          <w:lang w:eastAsia="zh-CN"/>
        </w:rPr>
        <w:t xml:space="preserve"> in RAN4 specifications.</w:t>
      </w:r>
    </w:p>
    <w:p w14:paraId="506B1B11" w14:textId="6BEE620B" w:rsidR="004E6038" w:rsidRDefault="004E6038" w:rsidP="0093188E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Two alternatives were proposed in [3] i.e., generalization or patching. </w:t>
      </w:r>
      <w:r w:rsidR="0093188E">
        <w:rPr>
          <w:sz w:val="24"/>
          <w:szCs w:val="24"/>
          <w:lang w:eastAsia="zh-CN"/>
        </w:rPr>
        <w:t>Both ways have their own pros and cons</w:t>
      </w:r>
      <w:r>
        <w:rPr>
          <w:sz w:val="24"/>
          <w:szCs w:val="24"/>
          <w:lang w:eastAsia="zh-CN"/>
        </w:rPr>
        <w:t xml:space="preserve"> as shown in the table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5"/>
        <w:gridCol w:w="2970"/>
        <w:gridCol w:w="2970"/>
      </w:tblGrid>
      <w:tr w:rsidR="004E6038" w14:paraId="1D2C8BD9" w14:textId="77777777" w:rsidTr="004E6038">
        <w:trPr>
          <w:jc w:val="center"/>
        </w:trPr>
        <w:tc>
          <w:tcPr>
            <w:tcW w:w="1885" w:type="dxa"/>
          </w:tcPr>
          <w:p w14:paraId="75E48DA2" w14:textId="77777777" w:rsidR="004E6038" w:rsidRDefault="004E6038" w:rsidP="004E6038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970" w:type="dxa"/>
          </w:tcPr>
          <w:p w14:paraId="5C1A855F" w14:textId="75432BD0" w:rsidR="004E6038" w:rsidRDefault="004E6038" w:rsidP="004E6038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Pros</w:t>
            </w:r>
          </w:p>
        </w:tc>
        <w:tc>
          <w:tcPr>
            <w:tcW w:w="2970" w:type="dxa"/>
          </w:tcPr>
          <w:p w14:paraId="007B81BB" w14:textId="7D2B4841" w:rsidR="004E6038" w:rsidRDefault="004E6038" w:rsidP="004E6038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Cons</w:t>
            </w:r>
          </w:p>
        </w:tc>
      </w:tr>
      <w:tr w:rsidR="004E6038" w14:paraId="347FC8AD" w14:textId="77777777" w:rsidTr="004E6038">
        <w:trPr>
          <w:jc w:val="center"/>
        </w:trPr>
        <w:tc>
          <w:tcPr>
            <w:tcW w:w="1885" w:type="dxa"/>
          </w:tcPr>
          <w:p w14:paraId="50FDBE0D" w14:textId="021F086B" w:rsidR="004E6038" w:rsidRDefault="004E6038" w:rsidP="004E6038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Generalization</w:t>
            </w:r>
          </w:p>
        </w:tc>
        <w:tc>
          <w:tcPr>
            <w:tcW w:w="2970" w:type="dxa"/>
          </w:tcPr>
          <w:p w14:paraId="3170E33C" w14:textId="4FA837E0" w:rsidR="004E6038" w:rsidRDefault="004E6038" w:rsidP="004E6038">
            <w:pPr>
              <w:pStyle w:val="B1"/>
              <w:numPr>
                <w:ilvl w:val="0"/>
                <w:numId w:val="39"/>
              </w:numPr>
              <w:spacing w:after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Future proof</w:t>
            </w:r>
          </w:p>
        </w:tc>
        <w:tc>
          <w:tcPr>
            <w:tcW w:w="2970" w:type="dxa"/>
          </w:tcPr>
          <w:p w14:paraId="52CA432C" w14:textId="7F6F0299" w:rsidR="004E6038" w:rsidRDefault="004E6038" w:rsidP="004E6038">
            <w:pPr>
              <w:pStyle w:val="B1"/>
              <w:numPr>
                <w:ilvl w:val="0"/>
                <w:numId w:val="39"/>
              </w:numPr>
              <w:spacing w:after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More than 35 phrases spread in TS 38.101-1</w:t>
            </w:r>
          </w:p>
        </w:tc>
      </w:tr>
      <w:tr w:rsidR="004E6038" w14:paraId="25127960" w14:textId="77777777" w:rsidTr="004E6038">
        <w:trPr>
          <w:jc w:val="center"/>
        </w:trPr>
        <w:tc>
          <w:tcPr>
            <w:tcW w:w="1885" w:type="dxa"/>
          </w:tcPr>
          <w:p w14:paraId="25425896" w14:textId="1CB6E7AD" w:rsidR="004E6038" w:rsidRDefault="004E6038" w:rsidP="004E6038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Patching</w:t>
            </w:r>
          </w:p>
        </w:tc>
        <w:tc>
          <w:tcPr>
            <w:tcW w:w="2970" w:type="dxa"/>
          </w:tcPr>
          <w:p w14:paraId="7D4D2DC2" w14:textId="5BF091FE" w:rsidR="004E6038" w:rsidRDefault="004E6038" w:rsidP="004E6038">
            <w:pPr>
              <w:pStyle w:val="B1"/>
              <w:numPr>
                <w:ilvl w:val="0"/>
                <w:numId w:val="40"/>
              </w:numPr>
              <w:spacing w:after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One sentence is needed</w:t>
            </w:r>
          </w:p>
        </w:tc>
        <w:tc>
          <w:tcPr>
            <w:tcW w:w="2970" w:type="dxa"/>
          </w:tcPr>
          <w:p w14:paraId="14E15F52" w14:textId="14596659" w:rsidR="004E6038" w:rsidRDefault="004E6038" w:rsidP="004E6038">
            <w:pPr>
              <w:pStyle w:val="B1"/>
              <w:numPr>
                <w:ilvl w:val="0"/>
                <w:numId w:val="40"/>
              </w:numPr>
              <w:spacing w:after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Less user-friendliness</w:t>
            </w:r>
          </w:p>
        </w:tc>
      </w:tr>
    </w:tbl>
    <w:p w14:paraId="188B0131" w14:textId="77777777" w:rsidR="004E6038" w:rsidRDefault="004E6038" w:rsidP="0093188E">
      <w:pPr>
        <w:pStyle w:val="B1"/>
        <w:ind w:left="0" w:firstLine="0"/>
        <w:rPr>
          <w:sz w:val="24"/>
          <w:szCs w:val="24"/>
          <w:lang w:eastAsia="zh-CN"/>
        </w:rPr>
      </w:pPr>
    </w:p>
    <w:p w14:paraId="475407B7" w14:textId="22029830" w:rsidR="0093188E" w:rsidRDefault="00AE2F32" w:rsidP="0093188E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Though both of them are not perfect, the patching way requires less changes which is an important aspect at this stage. Therefore, we propose to agree on the patching way.</w:t>
      </w:r>
    </w:p>
    <w:p w14:paraId="55396188" w14:textId="59ED0EAE" w:rsidR="00AE2F32" w:rsidRPr="00AE2F32" w:rsidRDefault="00AE2F32" w:rsidP="0093188E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AE2F32">
        <w:rPr>
          <w:b/>
          <w:bCs/>
          <w:sz w:val="24"/>
          <w:szCs w:val="24"/>
          <w:lang w:eastAsia="zh-CN"/>
        </w:rPr>
        <w:t xml:space="preserve">Proposal 1: RAN4 to </w:t>
      </w:r>
      <w:r w:rsidR="004E6038">
        <w:rPr>
          <w:b/>
          <w:bCs/>
          <w:sz w:val="24"/>
          <w:szCs w:val="24"/>
          <w:lang w:eastAsia="zh-CN"/>
        </w:rPr>
        <w:t>use the method of p</w:t>
      </w:r>
      <w:r w:rsidRPr="00AE2F32">
        <w:rPr>
          <w:b/>
          <w:bCs/>
          <w:sz w:val="24"/>
          <w:szCs w:val="24"/>
          <w:lang w:eastAsia="zh-CN"/>
        </w:rPr>
        <w:t>atching</w:t>
      </w:r>
      <w:r w:rsidR="004E6038">
        <w:rPr>
          <w:b/>
          <w:bCs/>
          <w:sz w:val="24"/>
          <w:szCs w:val="24"/>
          <w:lang w:eastAsia="zh-CN"/>
        </w:rPr>
        <w:t xml:space="preserve"> to</w:t>
      </w:r>
      <w:r w:rsidRPr="00AE2F32">
        <w:rPr>
          <w:b/>
          <w:bCs/>
          <w:sz w:val="24"/>
          <w:szCs w:val="24"/>
          <w:lang w:eastAsia="zh-CN"/>
        </w:rPr>
        <w:t xml:space="preserve"> update uplink duty cycle evaluation.</w:t>
      </w:r>
    </w:p>
    <w:p w14:paraId="33435796" w14:textId="10181C74" w:rsidR="00AE2F32" w:rsidRDefault="00AE2F32" w:rsidP="0093188E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As one example, the clarification sentence can be added in sub-clause 6.1 as “</w:t>
      </w:r>
      <w:r w:rsidR="009B36B0" w:rsidRPr="009B36B0">
        <w:rPr>
          <w:sz w:val="24"/>
          <w:szCs w:val="24"/>
          <w:lang w:eastAsia="zh-CN"/>
        </w:rPr>
        <w:t>For an SBFD-aware UE, uplink transmissions in SBFD and non-SBFD symbols shall be counted as uplink symbols when evaluating the uplink duty cycle</w:t>
      </w:r>
      <w:r>
        <w:rPr>
          <w:sz w:val="24"/>
          <w:szCs w:val="24"/>
          <w:lang w:eastAsia="zh-CN"/>
        </w:rPr>
        <w:t>”, which is shown in our companion draftCR [</w:t>
      </w:r>
      <w:r w:rsidR="004E6038">
        <w:rPr>
          <w:sz w:val="24"/>
          <w:szCs w:val="24"/>
          <w:lang w:eastAsia="zh-CN"/>
        </w:rPr>
        <w:t>4</w:t>
      </w:r>
      <w:r>
        <w:rPr>
          <w:sz w:val="24"/>
          <w:szCs w:val="24"/>
          <w:lang w:eastAsia="zh-CN"/>
        </w:rPr>
        <w:t>].</w:t>
      </w:r>
    </w:p>
    <w:p w14:paraId="021D4506" w14:textId="2455F155" w:rsidR="00AE2F32" w:rsidRPr="00AE2F32" w:rsidRDefault="00AE2F32" w:rsidP="0093188E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AE2F32">
        <w:rPr>
          <w:b/>
          <w:bCs/>
          <w:sz w:val="24"/>
          <w:szCs w:val="24"/>
          <w:lang w:eastAsia="zh-CN"/>
        </w:rPr>
        <w:t>Proposal 2: RAN4 to add a clarification sentence under sub-clause 6.1 as “</w:t>
      </w:r>
      <w:r w:rsidR="006402EB" w:rsidRPr="006402EB">
        <w:rPr>
          <w:b/>
          <w:bCs/>
          <w:sz w:val="24"/>
          <w:szCs w:val="24"/>
          <w:lang w:eastAsia="zh-CN"/>
        </w:rPr>
        <w:t>For an SBFD-aware UE, uplink transmissions in SBFD and non-SBFD symbols shall be counted as uplink symbols when evaluating the uplink duty cycle</w:t>
      </w:r>
      <w:r w:rsidRPr="00AE2F32">
        <w:rPr>
          <w:b/>
          <w:bCs/>
          <w:sz w:val="24"/>
          <w:szCs w:val="24"/>
          <w:lang w:eastAsia="zh-CN"/>
        </w:rPr>
        <w:t>”.</w:t>
      </w:r>
    </w:p>
    <w:p w14:paraId="3B45D254" w14:textId="77777777" w:rsidR="001C2381" w:rsidRPr="00067F13" w:rsidRDefault="001C2381" w:rsidP="0093188E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6E34F2D9" w:rsidR="009267C2" w:rsidRDefault="007C032D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proposal for updating duty cycle evaluation with the introduction of SBFD:</w:t>
      </w:r>
    </w:p>
    <w:p w14:paraId="01818100" w14:textId="6A9A4556" w:rsidR="004E6038" w:rsidRPr="00501EC4" w:rsidRDefault="004E6038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AE2F32">
        <w:rPr>
          <w:b/>
          <w:bCs/>
          <w:sz w:val="24"/>
          <w:szCs w:val="24"/>
          <w:lang w:eastAsia="zh-CN"/>
        </w:rPr>
        <w:t xml:space="preserve">Proposal 1: RAN4 to </w:t>
      </w:r>
      <w:r>
        <w:rPr>
          <w:b/>
          <w:bCs/>
          <w:sz w:val="24"/>
          <w:szCs w:val="24"/>
          <w:lang w:eastAsia="zh-CN"/>
        </w:rPr>
        <w:t>use the method of p</w:t>
      </w:r>
      <w:r w:rsidRPr="00AE2F32">
        <w:rPr>
          <w:b/>
          <w:bCs/>
          <w:sz w:val="24"/>
          <w:szCs w:val="24"/>
          <w:lang w:eastAsia="zh-CN"/>
        </w:rPr>
        <w:t>atching</w:t>
      </w:r>
      <w:r>
        <w:rPr>
          <w:b/>
          <w:bCs/>
          <w:sz w:val="24"/>
          <w:szCs w:val="24"/>
          <w:lang w:eastAsia="zh-CN"/>
        </w:rPr>
        <w:t xml:space="preserve"> to</w:t>
      </w:r>
      <w:r w:rsidRPr="00AE2F32">
        <w:rPr>
          <w:b/>
          <w:bCs/>
          <w:sz w:val="24"/>
          <w:szCs w:val="24"/>
          <w:lang w:eastAsia="zh-CN"/>
        </w:rPr>
        <w:t xml:space="preserve"> update uplink duty cycle evaluation.</w:t>
      </w:r>
    </w:p>
    <w:p w14:paraId="0CE22746" w14:textId="2EB7D0BF" w:rsidR="00AE2F32" w:rsidRPr="00627FD1" w:rsidRDefault="00AE2F3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AE2F32">
        <w:rPr>
          <w:b/>
          <w:bCs/>
          <w:sz w:val="24"/>
          <w:szCs w:val="24"/>
          <w:lang w:eastAsia="zh-CN"/>
        </w:rPr>
        <w:t>Proposal 2: RAN4 to add a clarification sentence under sub-clause 6.1 as “</w:t>
      </w:r>
      <w:r w:rsidR="001F58AE" w:rsidRPr="001F58AE">
        <w:rPr>
          <w:b/>
          <w:bCs/>
          <w:sz w:val="24"/>
          <w:szCs w:val="24"/>
          <w:lang w:eastAsia="zh-CN"/>
        </w:rPr>
        <w:t>For an SBFD-aware UE, uplink transmissions in SBFD and non-SBFD symbols shall be counted as uplink symbols when evaluating the uplink duty cycle</w:t>
      </w:r>
      <w:r w:rsidRPr="00AE2F32">
        <w:rPr>
          <w:b/>
          <w:bCs/>
          <w:sz w:val="24"/>
          <w:szCs w:val="24"/>
          <w:lang w:eastAsia="zh-CN"/>
        </w:rPr>
        <w:t>”.</w:t>
      </w: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5E11C48F" w14:textId="77777777" w:rsidR="00705288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5D5D27">
        <w:rPr>
          <w:sz w:val="24"/>
          <w:szCs w:val="24"/>
          <w:lang w:eastAsia="zh-CN"/>
        </w:rPr>
        <w:t>R4-2504752, “</w:t>
      </w:r>
      <w:r w:rsidR="005D5D27" w:rsidRPr="005D5D27">
        <w:rPr>
          <w:sz w:val="24"/>
          <w:szCs w:val="24"/>
          <w:lang w:eastAsia="zh-CN"/>
        </w:rPr>
        <w:t>Way Forward for [114bis][306] NR_duplex_evo_General</w:t>
      </w:r>
      <w:r w:rsidR="005D5D27">
        <w:rPr>
          <w:sz w:val="24"/>
          <w:szCs w:val="24"/>
          <w:lang w:eastAsia="zh-CN"/>
        </w:rPr>
        <w:t>”, Samsung</w:t>
      </w:r>
    </w:p>
    <w:p w14:paraId="47EE3CAD" w14:textId="301287CF" w:rsidR="00705288" w:rsidRDefault="00705288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[2] R4-2508707,</w:t>
      </w:r>
      <w:r w:rsidR="00C77922">
        <w:rPr>
          <w:sz w:val="24"/>
          <w:szCs w:val="24"/>
          <w:lang w:eastAsia="zh-CN"/>
        </w:rPr>
        <w:t xml:space="preserve"> “</w:t>
      </w:r>
      <w:r w:rsidR="00C77922" w:rsidRPr="00C77922">
        <w:rPr>
          <w:sz w:val="24"/>
          <w:szCs w:val="24"/>
          <w:lang w:eastAsia="zh-CN"/>
        </w:rPr>
        <w:t>Way Forward for [115][306] NR_duplex_evo_General</w:t>
      </w:r>
      <w:r w:rsidR="00C77922">
        <w:rPr>
          <w:sz w:val="24"/>
          <w:szCs w:val="24"/>
          <w:lang w:eastAsia="zh-CN"/>
        </w:rPr>
        <w:t>”, Samsung</w:t>
      </w:r>
    </w:p>
    <w:p w14:paraId="627CE097" w14:textId="0656F4B9" w:rsidR="009267C2" w:rsidRDefault="00705288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[3] R4-2506047, “</w:t>
      </w:r>
      <w:r w:rsidRPr="00705288">
        <w:rPr>
          <w:sz w:val="24"/>
          <w:szCs w:val="24"/>
          <w:lang w:eastAsia="zh-CN"/>
        </w:rPr>
        <w:t>Discussion on updating duty cycle evaluation with the introduction of SBFD</w:t>
      </w:r>
      <w:r>
        <w:rPr>
          <w:sz w:val="24"/>
          <w:szCs w:val="24"/>
          <w:lang w:eastAsia="zh-CN"/>
        </w:rPr>
        <w:t>”, CATT</w:t>
      </w:r>
      <w:r w:rsidR="005D5D27">
        <w:rPr>
          <w:sz w:val="24"/>
          <w:szCs w:val="24"/>
          <w:lang w:eastAsia="zh-CN"/>
        </w:rPr>
        <w:t xml:space="preserve"> </w:t>
      </w:r>
    </w:p>
    <w:p w14:paraId="0FC94A8A" w14:textId="4C56E550" w:rsidR="009267C2" w:rsidRPr="00897A84" w:rsidRDefault="00AE2F32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</w:t>
      </w:r>
      <w:r w:rsidR="002C7108">
        <w:rPr>
          <w:sz w:val="24"/>
          <w:szCs w:val="24"/>
          <w:lang w:eastAsia="zh-CN"/>
        </w:rPr>
        <w:t>4</w:t>
      </w:r>
      <w:r>
        <w:rPr>
          <w:sz w:val="24"/>
          <w:szCs w:val="24"/>
          <w:lang w:eastAsia="zh-CN"/>
        </w:rPr>
        <w:t>] R4-250</w:t>
      </w:r>
      <w:r w:rsidR="00941FD5">
        <w:rPr>
          <w:sz w:val="24"/>
          <w:szCs w:val="24"/>
          <w:lang w:eastAsia="zh-CN"/>
        </w:rPr>
        <w:t>9386</w:t>
      </w:r>
      <w:r>
        <w:rPr>
          <w:sz w:val="24"/>
          <w:szCs w:val="24"/>
          <w:lang w:eastAsia="zh-CN"/>
        </w:rPr>
        <w:t>, “</w:t>
      </w:r>
      <w:r w:rsidR="00DD46A0" w:rsidRPr="00DD46A0">
        <w:rPr>
          <w:sz w:val="24"/>
          <w:szCs w:val="24"/>
          <w:lang w:eastAsia="zh-CN"/>
        </w:rPr>
        <w:t>draftCR to TS 38.101-1 on updating duty cycle evaluation with the introduction of SBFD</w:t>
      </w:r>
      <w:r>
        <w:rPr>
          <w:sz w:val="24"/>
          <w:szCs w:val="24"/>
          <w:lang w:eastAsia="zh-CN"/>
        </w:rPr>
        <w:t>”, CATT</w:t>
      </w:r>
    </w:p>
    <w:sectPr w:rsidR="009267C2" w:rsidRPr="00897A84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2767B" w14:textId="77777777" w:rsidR="00D22ECA" w:rsidRPr="00A10429" w:rsidRDefault="00D22EC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C34F9FF" w14:textId="77777777" w:rsidR="00D22ECA" w:rsidRPr="00A10429" w:rsidRDefault="00D22ECA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5FE15" w14:textId="77777777" w:rsidR="00D22ECA" w:rsidRPr="00A10429" w:rsidRDefault="00D22EC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AB3DD2D" w14:textId="77777777" w:rsidR="00D22ECA" w:rsidRPr="00A10429" w:rsidRDefault="00D22ECA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E87D10"/>
    <w:multiLevelType w:val="hybridMultilevel"/>
    <w:tmpl w:val="B0AC3510"/>
    <w:lvl w:ilvl="0" w:tplc="06600C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15499B"/>
    <w:multiLevelType w:val="hybridMultilevel"/>
    <w:tmpl w:val="8B5A895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472B66"/>
    <w:multiLevelType w:val="hybridMultilevel"/>
    <w:tmpl w:val="3FC26D68"/>
    <w:lvl w:ilvl="0" w:tplc="06600C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B73482"/>
    <w:multiLevelType w:val="hybridMultilevel"/>
    <w:tmpl w:val="E29AB4C4"/>
    <w:lvl w:ilvl="0" w:tplc="5B1E0B4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US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01425F"/>
    <w:multiLevelType w:val="hybridMultilevel"/>
    <w:tmpl w:val="1E7CC27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31"/>
  </w:num>
  <w:num w:numId="2" w16cid:durableId="767700499">
    <w:abstractNumId w:val="14"/>
  </w:num>
  <w:num w:numId="3" w16cid:durableId="980884213">
    <w:abstractNumId w:val="28"/>
  </w:num>
  <w:num w:numId="4" w16cid:durableId="1846701611">
    <w:abstractNumId w:val="13"/>
  </w:num>
  <w:num w:numId="5" w16cid:durableId="699012852">
    <w:abstractNumId w:val="5"/>
  </w:num>
  <w:num w:numId="6" w16cid:durableId="1450201014">
    <w:abstractNumId w:val="21"/>
  </w:num>
  <w:num w:numId="7" w16cid:durableId="1073939429">
    <w:abstractNumId w:val="4"/>
  </w:num>
  <w:num w:numId="8" w16cid:durableId="214005466">
    <w:abstractNumId w:val="20"/>
  </w:num>
  <w:num w:numId="9" w16cid:durableId="1446921232">
    <w:abstractNumId w:val="31"/>
  </w:num>
  <w:num w:numId="10" w16cid:durableId="1699429464">
    <w:abstractNumId w:val="31"/>
  </w:num>
  <w:num w:numId="11" w16cid:durableId="1062680395">
    <w:abstractNumId w:val="1"/>
  </w:num>
  <w:num w:numId="12" w16cid:durableId="2118793171">
    <w:abstractNumId w:val="9"/>
  </w:num>
  <w:num w:numId="13" w16cid:durableId="1243837963">
    <w:abstractNumId w:val="8"/>
  </w:num>
  <w:num w:numId="14" w16cid:durableId="1296058729">
    <w:abstractNumId w:val="27"/>
  </w:num>
  <w:num w:numId="15" w16cid:durableId="1988124532">
    <w:abstractNumId w:val="31"/>
  </w:num>
  <w:num w:numId="16" w16cid:durableId="563225832">
    <w:abstractNumId w:val="31"/>
  </w:num>
  <w:num w:numId="17" w16cid:durableId="599262311">
    <w:abstractNumId w:val="19"/>
  </w:num>
  <w:num w:numId="18" w16cid:durableId="161748096">
    <w:abstractNumId w:val="32"/>
  </w:num>
  <w:num w:numId="19" w16cid:durableId="573126915">
    <w:abstractNumId w:val="31"/>
  </w:num>
  <w:num w:numId="20" w16cid:durableId="2004045065">
    <w:abstractNumId w:val="7"/>
  </w:num>
  <w:num w:numId="21" w16cid:durableId="584807274">
    <w:abstractNumId w:val="31"/>
  </w:num>
  <w:num w:numId="22" w16cid:durableId="181170718">
    <w:abstractNumId w:val="31"/>
  </w:num>
  <w:num w:numId="23" w16cid:durableId="1139999911">
    <w:abstractNumId w:val="10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1"/>
  </w:num>
  <w:num w:numId="27" w16cid:durableId="119879853">
    <w:abstractNumId w:val="12"/>
  </w:num>
  <w:num w:numId="28" w16cid:durableId="375130886">
    <w:abstractNumId w:val="22"/>
  </w:num>
  <w:num w:numId="29" w16cid:durableId="381445059">
    <w:abstractNumId w:val="23"/>
  </w:num>
  <w:num w:numId="30" w16cid:durableId="2003196174">
    <w:abstractNumId w:val="17"/>
  </w:num>
  <w:num w:numId="31" w16cid:durableId="886913614">
    <w:abstractNumId w:val="16"/>
  </w:num>
  <w:num w:numId="32" w16cid:durableId="48724925">
    <w:abstractNumId w:val="26"/>
  </w:num>
  <w:num w:numId="33" w16cid:durableId="1028601228">
    <w:abstractNumId w:val="25"/>
  </w:num>
  <w:num w:numId="34" w16cid:durableId="1275207278">
    <w:abstractNumId w:val="15"/>
  </w:num>
  <w:num w:numId="35" w16cid:durableId="608245496">
    <w:abstractNumId w:val="29"/>
  </w:num>
  <w:num w:numId="36" w16cid:durableId="1304626918">
    <w:abstractNumId w:val="24"/>
  </w:num>
  <w:num w:numId="37" w16cid:durableId="433214279">
    <w:abstractNumId w:val="3"/>
  </w:num>
  <w:num w:numId="38" w16cid:durableId="1331444988">
    <w:abstractNumId w:val="18"/>
  </w:num>
  <w:num w:numId="39" w16cid:durableId="1457481495">
    <w:abstractNumId w:val="6"/>
  </w:num>
  <w:num w:numId="40" w16cid:durableId="678822484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4DD8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6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381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8AE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879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108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B7F48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1DEE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7F0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603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EC4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318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5D27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6F01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B6C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2EB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249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288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032D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11D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1E16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A84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49B4"/>
    <w:rsid w:val="008D5371"/>
    <w:rsid w:val="008D698E"/>
    <w:rsid w:val="008D6C2B"/>
    <w:rsid w:val="008D70AA"/>
    <w:rsid w:val="008D7176"/>
    <w:rsid w:val="008D7F85"/>
    <w:rsid w:val="008E0015"/>
    <w:rsid w:val="008E09BC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88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FD5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6B0"/>
    <w:rsid w:val="009B3E95"/>
    <w:rsid w:val="009B4599"/>
    <w:rsid w:val="009B4678"/>
    <w:rsid w:val="009B4709"/>
    <w:rsid w:val="009B4AC5"/>
    <w:rsid w:val="009B4E9D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0C6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2F32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4FA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22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4FD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2ECA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97A73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6A0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3C9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styleId="CommentReference">
    <w:name w:val="annotation reference"/>
    <w:qFormat/>
    <w:rsid w:val="005D5D27"/>
    <w:rPr>
      <w:sz w:val="16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D5D2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14</cp:revision>
  <dcterms:created xsi:type="dcterms:W3CDTF">2025-08-12T18:10:00Z</dcterms:created>
  <dcterms:modified xsi:type="dcterms:W3CDTF">2025-08-13T16:02:00Z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